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DA4E2D" w:rsidRDefault="00DA4E2D" w:rsidP="00DA4E2D">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0503A70C" wp14:editId="782C20B7">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A4E2D" w:rsidRDefault="00DA4E2D" w:rsidP="00DA4E2D">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DA4E2D" w:rsidRDefault="00DA4E2D" w:rsidP="00DA4E2D">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DA4E2D" w:rsidRDefault="00DA4E2D" w:rsidP="00DA4E2D">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DA4E2D" w:rsidRDefault="00DA4E2D" w:rsidP="00DA4E2D">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DA4E2D" w:rsidRDefault="00DA4E2D" w:rsidP="00DA4E2D">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DA4E2D" w:rsidRDefault="00DA4E2D" w:rsidP="00DA4E2D">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v:textbox>
              </v:shape>
            </w:pict>
          </mc:Fallback>
        </mc:AlternateContent>
      </w:r>
      <w:bookmarkStart w:id="1" w:name="bookmark2"/>
      <w:r>
        <w:rPr>
          <w:noProof/>
          <w:lang w:val="uk-UA" w:eastAsia="uk-UA"/>
        </w:rPr>
        <w:drawing>
          <wp:inline distT="0" distB="0" distL="0" distR="0" wp14:anchorId="4FF016DF" wp14:editId="48AA55BC">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DA4E2D" w:rsidRDefault="00DA4E2D" w:rsidP="007A75CC">
      <w:pPr>
        <w:shd w:val="clear" w:color="auto" w:fill="FFFFFF"/>
        <w:spacing w:after="0" w:line="240" w:lineRule="atLeast"/>
        <w:jc w:val="center"/>
        <w:textAlignment w:val="baseline"/>
        <w:outlineLvl w:val="0"/>
        <w:rPr>
          <w:rFonts w:ascii="Times New Roman" w:eastAsia="Times New Roman" w:hAnsi="Times New Roman" w:cs="Times New Roman"/>
          <w:b/>
          <w:color w:val="1D1D1B"/>
          <w:kern w:val="36"/>
          <w:sz w:val="28"/>
          <w:szCs w:val="28"/>
          <w:highlight w:val="yellow"/>
          <w:lang w:val="uk-UA" w:eastAsia="ru-RU"/>
        </w:rPr>
      </w:pPr>
    </w:p>
    <w:p w:rsidR="0095644B" w:rsidRDefault="00BC435A" w:rsidP="007A75CC">
      <w:pPr>
        <w:shd w:val="clear" w:color="auto" w:fill="FFFFFF"/>
        <w:spacing w:after="0" w:line="240" w:lineRule="atLeast"/>
        <w:jc w:val="center"/>
        <w:textAlignment w:val="baseline"/>
        <w:outlineLvl w:val="0"/>
        <w:rPr>
          <w:rFonts w:ascii="Times New Roman" w:eastAsia="Times New Roman" w:hAnsi="Times New Roman" w:cs="Times New Roman"/>
          <w:b/>
          <w:color w:val="1D1D1B"/>
          <w:kern w:val="36"/>
          <w:sz w:val="28"/>
          <w:szCs w:val="28"/>
          <w:lang w:val="uk-UA" w:eastAsia="ru-RU"/>
        </w:rPr>
      </w:pPr>
      <w:r w:rsidRPr="009243CE">
        <w:rPr>
          <w:rFonts w:ascii="Times New Roman" w:eastAsia="Times New Roman" w:hAnsi="Times New Roman" w:cs="Times New Roman"/>
          <w:b/>
          <w:color w:val="1D1D1B"/>
          <w:kern w:val="36"/>
          <w:sz w:val="28"/>
          <w:szCs w:val="28"/>
          <w:lang w:val="uk-UA" w:eastAsia="ru-RU"/>
        </w:rPr>
        <w:t>Розрахунок</w:t>
      </w:r>
      <w:r w:rsidR="007A75CC" w:rsidRPr="007A75CC">
        <w:rPr>
          <w:rFonts w:ascii="Times New Roman" w:eastAsia="Times New Roman" w:hAnsi="Times New Roman" w:cs="Times New Roman"/>
          <w:b/>
          <w:color w:val="1D1D1B"/>
          <w:kern w:val="36"/>
          <w:sz w:val="28"/>
          <w:szCs w:val="28"/>
          <w:lang w:val="uk-UA" w:eastAsia="ru-RU"/>
        </w:rPr>
        <w:t xml:space="preserve"> обсяг</w:t>
      </w:r>
      <w:r>
        <w:rPr>
          <w:rFonts w:ascii="Times New Roman" w:eastAsia="Times New Roman" w:hAnsi="Times New Roman" w:cs="Times New Roman"/>
          <w:b/>
          <w:color w:val="1D1D1B"/>
          <w:kern w:val="36"/>
          <w:sz w:val="28"/>
          <w:szCs w:val="28"/>
          <w:lang w:val="uk-UA" w:eastAsia="ru-RU"/>
        </w:rPr>
        <w:t>у</w:t>
      </w:r>
      <w:r w:rsidR="007A75CC" w:rsidRPr="007A75CC">
        <w:rPr>
          <w:rFonts w:ascii="Times New Roman" w:eastAsia="Times New Roman" w:hAnsi="Times New Roman" w:cs="Times New Roman"/>
          <w:b/>
          <w:color w:val="1D1D1B"/>
          <w:kern w:val="36"/>
          <w:sz w:val="28"/>
          <w:szCs w:val="28"/>
          <w:lang w:val="uk-UA" w:eastAsia="ru-RU"/>
        </w:rPr>
        <w:t xml:space="preserve"> господарських операцій платника податків </w:t>
      </w:r>
    </w:p>
    <w:p w:rsidR="00647910" w:rsidRDefault="007A75CC" w:rsidP="007A75CC">
      <w:pPr>
        <w:shd w:val="clear" w:color="auto" w:fill="FFFFFF"/>
        <w:spacing w:after="0" w:line="240" w:lineRule="atLeast"/>
        <w:jc w:val="center"/>
        <w:textAlignment w:val="baseline"/>
        <w:outlineLvl w:val="0"/>
        <w:rPr>
          <w:rFonts w:ascii="Times New Roman" w:eastAsia="Times New Roman" w:hAnsi="Times New Roman" w:cs="Times New Roman"/>
          <w:b/>
          <w:color w:val="1D1D1B"/>
          <w:kern w:val="36"/>
          <w:sz w:val="28"/>
          <w:szCs w:val="28"/>
          <w:lang w:val="uk-UA" w:eastAsia="ru-RU"/>
        </w:rPr>
      </w:pPr>
      <w:r w:rsidRPr="007A75CC">
        <w:rPr>
          <w:rFonts w:ascii="Times New Roman" w:eastAsia="Times New Roman" w:hAnsi="Times New Roman" w:cs="Times New Roman"/>
          <w:b/>
          <w:color w:val="1D1D1B"/>
          <w:kern w:val="36"/>
          <w:sz w:val="28"/>
          <w:szCs w:val="28"/>
          <w:lang w:val="uk-UA" w:eastAsia="ru-RU"/>
        </w:rPr>
        <w:t>для визнання операцій контрольованими</w:t>
      </w:r>
    </w:p>
    <w:p w:rsidR="007A75CC" w:rsidRDefault="007A75CC" w:rsidP="007A75CC">
      <w:pPr>
        <w:shd w:val="clear" w:color="auto" w:fill="FFFFFF"/>
        <w:spacing w:after="0" w:line="240" w:lineRule="atLeast"/>
        <w:jc w:val="center"/>
        <w:textAlignment w:val="baseline"/>
        <w:outlineLvl w:val="0"/>
        <w:rPr>
          <w:lang w:val="uk-UA"/>
        </w:rPr>
      </w:pPr>
    </w:p>
    <w:p w:rsidR="007A75CC" w:rsidRDefault="007A75CC" w:rsidP="007A75CC">
      <w:pPr>
        <w:pStyle w:val="a3"/>
        <w:shd w:val="clear" w:color="auto" w:fill="FFFFFF"/>
        <w:spacing w:before="0" w:beforeAutospacing="0" w:after="0" w:afterAutospacing="0"/>
        <w:ind w:firstLine="567"/>
        <w:jc w:val="both"/>
        <w:textAlignment w:val="baseline"/>
        <w:rPr>
          <w:color w:val="000000"/>
          <w:sz w:val="28"/>
          <w:szCs w:val="28"/>
          <w:bdr w:val="none" w:sz="0" w:space="0" w:color="auto" w:frame="1"/>
          <w:lang w:val="uk-UA"/>
        </w:rPr>
      </w:pPr>
      <w:r w:rsidRPr="007A75CC">
        <w:rPr>
          <w:color w:val="000000"/>
          <w:sz w:val="28"/>
          <w:szCs w:val="28"/>
          <w:bdr w:val="none" w:sz="0" w:space="0" w:color="auto" w:frame="1"/>
          <w:lang w:val="uk-UA"/>
        </w:rPr>
        <w:t xml:space="preserve">Підпунктом 39.2.1.9 п.п. 39.2.1 п. 39.2 ст. 39 Податкового кодексу України встановлено, що обсяг господарських операцій платника податків для цілей п.п. 39.2.1.7 п.п. 39.2.1 п. 39.2 ст. 39 ПКУ обраховується за цінами, що відповідають принципу «витягнутої руки». </w:t>
      </w:r>
    </w:p>
    <w:p w:rsidR="007A75CC" w:rsidRPr="007A75CC" w:rsidRDefault="007A75CC" w:rsidP="007A75CC">
      <w:pPr>
        <w:pStyle w:val="a3"/>
        <w:shd w:val="clear" w:color="auto" w:fill="FFFFFF"/>
        <w:spacing w:before="0" w:beforeAutospacing="0" w:after="0" w:afterAutospacing="0"/>
        <w:ind w:firstLine="567"/>
        <w:jc w:val="both"/>
        <w:textAlignment w:val="baseline"/>
        <w:rPr>
          <w:color w:val="000000"/>
          <w:sz w:val="28"/>
          <w:szCs w:val="28"/>
          <w:lang w:val="uk-UA"/>
        </w:rPr>
      </w:pPr>
      <w:r>
        <w:rPr>
          <w:color w:val="000000"/>
          <w:sz w:val="28"/>
          <w:szCs w:val="28"/>
          <w:bdr w:val="none" w:sz="0" w:space="0" w:color="auto" w:frame="1"/>
          <w:lang w:val="uk-UA"/>
        </w:rPr>
        <w:t xml:space="preserve">Звертаємо увагу, що </w:t>
      </w:r>
      <w:r w:rsidRPr="007A75CC">
        <w:rPr>
          <w:color w:val="000000"/>
          <w:sz w:val="28"/>
          <w:szCs w:val="28"/>
          <w:bdr w:val="none" w:sz="0" w:space="0" w:color="auto" w:frame="1"/>
          <w:lang w:val="uk-UA"/>
        </w:rPr>
        <w:t xml:space="preserve"> відповідно до п.п. 39.2.1.7 п.п. 39.2.1 п. 39.2 ст. 39 ПКУ господарські операції, передбачені підпунктами 39.2.1.1 (крім операцій, що здійснюються між нерезидентом та його постійним представництвом в Україні) і 39.2.1.5 п.п. 39.2.1 п. 39.2 ст. 39 ПКУ, визнаються контрольованими, якщо одночасно виконуються такі умови:</w:t>
      </w:r>
      <w:r w:rsidRPr="007A75CC">
        <w:rPr>
          <w:color w:val="000000"/>
          <w:sz w:val="28"/>
          <w:szCs w:val="28"/>
          <w:lang w:val="uk-UA"/>
        </w:rPr>
        <w:br/>
      </w:r>
      <w:r w:rsidRPr="007A75CC">
        <w:rPr>
          <w:color w:val="000000"/>
          <w:sz w:val="28"/>
          <w:szCs w:val="28"/>
          <w:bdr w:val="none" w:sz="0" w:space="0" w:color="auto" w:frame="1"/>
          <w:lang w:val="uk-UA"/>
        </w:rPr>
        <w:t>     річний дохід платника податків від будь-якої діяльності, визначений за правилами бухгалтерського обліку, перевищує 150 млн. грн. (за вирахуванням непрямих податків) за відповідний податковий (звітний) рік;</w:t>
      </w:r>
    </w:p>
    <w:p w:rsidR="007A75CC" w:rsidRPr="007A75CC" w:rsidRDefault="007A75CC" w:rsidP="007A75CC">
      <w:pPr>
        <w:pStyle w:val="a3"/>
        <w:shd w:val="clear" w:color="auto" w:fill="FFFFFF"/>
        <w:spacing w:before="0" w:beforeAutospacing="0" w:after="0" w:afterAutospacing="0"/>
        <w:ind w:firstLine="567"/>
        <w:jc w:val="both"/>
        <w:textAlignment w:val="baseline"/>
        <w:rPr>
          <w:color w:val="000000"/>
          <w:sz w:val="28"/>
          <w:szCs w:val="28"/>
          <w:lang w:val="uk-UA"/>
        </w:rPr>
      </w:pPr>
      <w:r w:rsidRPr="007A75CC">
        <w:rPr>
          <w:color w:val="000000"/>
          <w:sz w:val="28"/>
          <w:szCs w:val="28"/>
          <w:bdr w:val="none" w:sz="0" w:space="0" w:color="auto" w:frame="1"/>
          <w:lang w:val="uk-UA"/>
        </w:rPr>
        <w:t>обсяг таких господарських операцій платника податків з кожним контрагентом, визначений за правилами бухгалтерського обліку, перевищує 10 млн. грн. (за вирахуванням непрямих податків) за відповідний податковий (звітний) рік.</w:t>
      </w:r>
    </w:p>
    <w:p w:rsidR="007A75CC" w:rsidRDefault="007A75CC" w:rsidP="007A75CC">
      <w:pPr>
        <w:pStyle w:val="a3"/>
        <w:shd w:val="clear" w:color="auto" w:fill="FFFFFF"/>
        <w:spacing w:before="0" w:beforeAutospacing="0" w:after="0" w:afterAutospacing="0"/>
        <w:ind w:firstLine="567"/>
        <w:jc w:val="both"/>
        <w:textAlignment w:val="baseline"/>
        <w:rPr>
          <w:color w:val="000000"/>
          <w:sz w:val="28"/>
          <w:szCs w:val="28"/>
          <w:bdr w:val="none" w:sz="0" w:space="0" w:color="auto" w:frame="1"/>
          <w:lang w:val="uk-UA"/>
        </w:rPr>
      </w:pPr>
      <w:r>
        <w:rPr>
          <w:color w:val="000000"/>
          <w:sz w:val="28"/>
          <w:szCs w:val="28"/>
          <w:bdr w:val="none" w:sz="0" w:space="0" w:color="auto" w:frame="1"/>
          <w:lang w:val="uk-UA"/>
        </w:rPr>
        <w:t>Так, г</w:t>
      </w:r>
      <w:r w:rsidRPr="007A75CC">
        <w:rPr>
          <w:color w:val="000000"/>
          <w:sz w:val="28"/>
          <w:szCs w:val="28"/>
          <w:bdr w:val="none" w:sz="0" w:space="0" w:color="auto" w:frame="1"/>
          <w:lang w:val="uk-UA"/>
        </w:rPr>
        <w:t>осподарські операції, що здійснюються між нерезидентом та його постійним представництвом в Україні, визнаються контрольованими, якщо обсяг таких господарських операцій, визначений за правилами бухгалтерського обліку, перевищує 10 млн. грн. (за вирахуванням непрямих податків) за відповідний податковий (звітний) рік.</w:t>
      </w:r>
    </w:p>
    <w:p w:rsidR="00DA4E2D" w:rsidRDefault="00DA4E2D" w:rsidP="007A75CC">
      <w:pPr>
        <w:pStyle w:val="a3"/>
        <w:shd w:val="clear" w:color="auto" w:fill="FFFFFF"/>
        <w:spacing w:before="0" w:beforeAutospacing="0" w:after="0" w:afterAutospacing="0"/>
        <w:ind w:firstLine="567"/>
        <w:jc w:val="both"/>
        <w:textAlignment w:val="baseline"/>
        <w:rPr>
          <w:color w:val="000000"/>
          <w:sz w:val="28"/>
          <w:szCs w:val="28"/>
          <w:bdr w:val="none" w:sz="0" w:space="0" w:color="auto" w:frame="1"/>
          <w:lang w:val="uk-UA"/>
        </w:rPr>
      </w:pPr>
    </w:p>
    <w:p w:rsidR="00DA4E2D" w:rsidRDefault="00DA4E2D">
      <w:pPr>
        <w:spacing w:after="0" w:line="240" w:lineRule="auto"/>
        <w:ind w:firstLine="567"/>
        <w:rPr>
          <w:rFonts w:ascii="Times New Roman" w:hAnsi="Times New Roman" w:cs="Times New Roman"/>
          <w:sz w:val="28"/>
          <w:szCs w:val="28"/>
          <w:lang w:val="en-US"/>
        </w:rPr>
      </w:pPr>
    </w:p>
    <w:p w:rsidR="009243CE" w:rsidRDefault="009243CE">
      <w:pPr>
        <w:spacing w:after="0" w:line="240" w:lineRule="auto"/>
        <w:ind w:firstLine="567"/>
        <w:rPr>
          <w:rFonts w:ascii="Times New Roman" w:hAnsi="Times New Roman" w:cs="Times New Roman"/>
          <w:sz w:val="28"/>
          <w:szCs w:val="28"/>
          <w:lang w:val="en-US"/>
        </w:rPr>
      </w:pPr>
    </w:p>
    <w:p w:rsidR="009243CE" w:rsidRDefault="009243CE">
      <w:pPr>
        <w:spacing w:after="0" w:line="240" w:lineRule="auto"/>
        <w:ind w:firstLine="567"/>
        <w:rPr>
          <w:rFonts w:ascii="Times New Roman" w:hAnsi="Times New Roman" w:cs="Times New Roman"/>
          <w:sz w:val="28"/>
          <w:szCs w:val="28"/>
          <w:lang w:val="en-US"/>
        </w:rPr>
      </w:pPr>
    </w:p>
    <w:p w:rsidR="009243CE" w:rsidRDefault="009243CE">
      <w:pPr>
        <w:spacing w:after="0" w:line="240" w:lineRule="auto"/>
        <w:ind w:firstLine="567"/>
        <w:rPr>
          <w:rFonts w:ascii="Times New Roman" w:hAnsi="Times New Roman" w:cs="Times New Roman"/>
          <w:sz w:val="28"/>
          <w:szCs w:val="28"/>
          <w:lang w:val="en-US"/>
        </w:rPr>
      </w:pPr>
    </w:p>
    <w:p w:rsidR="009243CE" w:rsidRDefault="009243CE">
      <w:pPr>
        <w:spacing w:after="0" w:line="240" w:lineRule="auto"/>
        <w:ind w:firstLine="567"/>
        <w:rPr>
          <w:rFonts w:ascii="Times New Roman" w:hAnsi="Times New Roman" w:cs="Times New Roman"/>
          <w:sz w:val="28"/>
          <w:szCs w:val="28"/>
          <w:lang w:val="en-US"/>
        </w:rPr>
      </w:pPr>
    </w:p>
    <w:p w:rsidR="009243CE" w:rsidRDefault="009243CE">
      <w:pPr>
        <w:spacing w:after="0" w:line="240" w:lineRule="auto"/>
        <w:ind w:firstLine="567"/>
        <w:rPr>
          <w:rFonts w:ascii="Times New Roman" w:hAnsi="Times New Roman" w:cs="Times New Roman"/>
          <w:sz w:val="28"/>
          <w:szCs w:val="28"/>
          <w:lang w:val="en-US"/>
        </w:rPr>
      </w:pPr>
    </w:p>
    <w:p w:rsidR="009243CE" w:rsidRDefault="009243CE">
      <w:pPr>
        <w:spacing w:after="0" w:line="240" w:lineRule="auto"/>
        <w:ind w:firstLine="567"/>
        <w:rPr>
          <w:rFonts w:ascii="Times New Roman" w:hAnsi="Times New Roman" w:cs="Times New Roman"/>
          <w:sz w:val="28"/>
          <w:szCs w:val="28"/>
          <w:lang w:val="en-US"/>
        </w:rPr>
      </w:pPr>
    </w:p>
    <w:p w:rsidR="009243CE" w:rsidRDefault="009243CE">
      <w:pPr>
        <w:spacing w:after="0" w:line="240" w:lineRule="auto"/>
        <w:ind w:firstLine="567"/>
        <w:rPr>
          <w:rFonts w:ascii="Times New Roman" w:hAnsi="Times New Roman" w:cs="Times New Roman"/>
          <w:sz w:val="28"/>
          <w:szCs w:val="28"/>
          <w:lang w:val="en-US"/>
        </w:rPr>
      </w:pPr>
    </w:p>
    <w:p w:rsidR="009243CE" w:rsidRDefault="009243CE">
      <w:pPr>
        <w:spacing w:after="0" w:line="240" w:lineRule="auto"/>
        <w:ind w:firstLine="567"/>
        <w:rPr>
          <w:rFonts w:ascii="Times New Roman" w:hAnsi="Times New Roman" w:cs="Times New Roman"/>
          <w:sz w:val="28"/>
          <w:szCs w:val="28"/>
          <w:lang w:val="en-US"/>
        </w:rPr>
      </w:pPr>
    </w:p>
    <w:p w:rsidR="009243CE" w:rsidRDefault="009243CE">
      <w:pPr>
        <w:spacing w:after="0" w:line="240" w:lineRule="auto"/>
        <w:ind w:firstLine="567"/>
        <w:rPr>
          <w:rFonts w:ascii="Times New Roman" w:hAnsi="Times New Roman" w:cs="Times New Roman"/>
          <w:sz w:val="28"/>
          <w:szCs w:val="28"/>
          <w:lang w:val="en-US"/>
        </w:rPr>
      </w:pPr>
    </w:p>
    <w:p w:rsidR="00DA4E2D" w:rsidRDefault="00DA4E2D">
      <w:pPr>
        <w:spacing w:after="0" w:line="240" w:lineRule="auto"/>
        <w:ind w:firstLine="567"/>
        <w:rPr>
          <w:rFonts w:ascii="Times New Roman" w:hAnsi="Times New Roman" w:cs="Times New Roman"/>
          <w:sz w:val="28"/>
          <w:szCs w:val="28"/>
          <w:lang w:val="uk-UA"/>
        </w:rPr>
      </w:pPr>
    </w:p>
    <w:p w:rsidR="00DA4E2D" w:rsidRPr="00DA4E2D" w:rsidRDefault="00DA4E2D" w:rsidP="00DA4E2D">
      <w:pPr>
        <w:spacing w:after="0" w:line="240" w:lineRule="auto"/>
        <w:jc w:val="both"/>
        <w:rPr>
          <w:rFonts w:ascii="Times New Roman" w:hAnsi="Times New Roman" w:cs="Times New Roman"/>
          <w:sz w:val="20"/>
          <w:szCs w:val="20"/>
          <w:lang w:val="uk-UA"/>
        </w:rPr>
      </w:pPr>
      <w:r w:rsidRPr="00DA4E2D">
        <w:rPr>
          <w:rFonts w:ascii="Times New Roman" w:hAnsi="Times New Roman" w:cs="Times New Roman"/>
          <w:sz w:val="20"/>
          <w:szCs w:val="20"/>
          <w:lang w:val="uk-UA"/>
        </w:rPr>
        <w:t xml:space="preserve">18002, м. Черкаси, вул. Хрещатик,235                                           </w:t>
      </w:r>
      <w:r w:rsidRPr="00EA716F">
        <w:rPr>
          <w:rFonts w:ascii="Times New Roman" w:hAnsi="Times New Roman" w:cs="Times New Roman"/>
          <w:sz w:val="20"/>
          <w:szCs w:val="20"/>
          <w:lang w:val="en-US"/>
        </w:rPr>
        <w:t>e</w:t>
      </w:r>
      <w:r w:rsidRPr="00DA4E2D">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DA4E2D">
        <w:rPr>
          <w:rFonts w:ascii="Times New Roman" w:hAnsi="Times New Roman" w:cs="Times New Roman"/>
          <w:sz w:val="20"/>
          <w:szCs w:val="20"/>
          <w:lang w:val="uk-UA"/>
        </w:rPr>
        <w:t xml:space="preserve">: </w:t>
      </w:r>
      <w:hyperlink r:id="rId6" w:history="1">
        <w:r w:rsidRPr="00EA716F">
          <w:rPr>
            <w:rStyle w:val="a4"/>
            <w:rFonts w:ascii="Times New Roman" w:hAnsi="Times New Roman" w:cs="Times New Roman"/>
            <w:sz w:val="20"/>
            <w:szCs w:val="20"/>
            <w:lang w:val="en-US"/>
          </w:rPr>
          <w:t>ck</w:t>
        </w:r>
        <w:r w:rsidRPr="00DA4E2D">
          <w:rPr>
            <w:rStyle w:val="a4"/>
            <w:rFonts w:ascii="Times New Roman" w:hAnsi="Times New Roman" w:cs="Times New Roman"/>
            <w:sz w:val="20"/>
            <w:szCs w:val="20"/>
            <w:lang w:val="uk-UA"/>
          </w:rPr>
          <w:t>.</w:t>
        </w:r>
        <w:r w:rsidRPr="00EA716F">
          <w:rPr>
            <w:rStyle w:val="a4"/>
            <w:rFonts w:ascii="Times New Roman" w:hAnsi="Times New Roman" w:cs="Times New Roman"/>
            <w:sz w:val="20"/>
            <w:szCs w:val="20"/>
            <w:lang w:val="en-US"/>
          </w:rPr>
          <w:t>zmi</w:t>
        </w:r>
        <w:r w:rsidRPr="00DA4E2D">
          <w:rPr>
            <w:rStyle w:val="a4"/>
            <w:rFonts w:ascii="Times New Roman" w:hAnsi="Times New Roman" w:cs="Times New Roman"/>
            <w:sz w:val="20"/>
            <w:szCs w:val="20"/>
            <w:lang w:val="uk-UA"/>
          </w:rPr>
          <w:t>@</w:t>
        </w:r>
        <w:r w:rsidRPr="00EA716F">
          <w:rPr>
            <w:rStyle w:val="a4"/>
            <w:rFonts w:ascii="Times New Roman" w:hAnsi="Times New Roman" w:cs="Times New Roman"/>
            <w:sz w:val="20"/>
            <w:szCs w:val="20"/>
            <w:lang w:val="en-US"/>
          </w:rPr>
          <w:t>tax</w:t>
        </w:r>
        <w:r w:rsidRPr="00DA4E2D">
          <w:rPr>
            <w:rStyle w:val="a4"/>
            <w:rFonts w:ascii="Times New Roman" w:hAnsi="Times New Roman" w:cs="Times New Roman"/>
            <w:sz w:val="20"/>
            <w:szCs w:val="20"/>
            <w:lang w:val="uk-UA"/>
          </w:rPr>
          <w:t>.</w:t>
        </w:r>
        <w:r w:rsidRPr="00EA716F">
          <w:rPr>
            <w:rStyle w:val="a4"/>
            <w:rFonts w:ascii="Times New Roman" w:hAnsi="Times New Roman" w:cs="Times New Roman"/>
            <w:sz w:val="20"/>
            <w:szCs w:val="20"/>
            <w:lang w:val="en-US"/>
          </w:rPr>
          <w:t>gov</w:t>
        </w:r>
        <w:r w:rsidRPr="00DA4E2D">
          <w:rPr>
            <w:rStyle w:val="a4"/>
            <w:rFonts w:ascii="Times New Roman" w:hAnsi="Times New Roman" w:cs="Times New Roman"/>
            <w:sz w:val="20"/>
            <w:szCs w:val="20"/>
            <w:lang w:val="uk-UA"/>
          </w:rPr>
          <w:t>.</w:t>
        </w:r>
        <w:proofErr w:type="spellStart"/>
        <w:r w:rsidRPr="00EA716F">
          <w:rPr>
            <w:rStyle w:val="a4"/>
            <w:rFonts w:ascii="Times New Roman" w:hAnsi="Times New Roman" w:cs="Times New Roman"/>
            <w:sz w:val="20"/>
            <w:szCs w:val="20"/>
            <w:lang w:val="en-US"/>
          </w:rPr>
          <w:t>ua</w:t>
        </w:r>
        <w:proofErr w:type="spellEnd"/>
      </w:hyperlink>
    </w:p>
    <w:p w:rsidR="00DA4E2D" w:rsidRPr="00EA716F" w:rsidRDefault="00DA4E2D" w:rsidP="00DA4E2D">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тел.(0472) 33-91-34                                                                           </w:t>
      </w:r>
      <w:hyperlink r:id="rId7" w:history="1">
        <w:r w:rsidRPr="00EA716F">
          <w:rPr>
            <w:rStyle w:val="a4"/>
            <w:rFonts w:ascii="Times New Roman" w:hAnsi="Times New Roman" w:cs="Times New Roman"/>
            <w:sz w:val="20"/>
            <w:szCs w:val="20"/>
          </w:rPr>
          <w:t>https://ck.tax.gov.ua/</w:t>
        </w:r>
      </w:hyperlink>
    </w:p>
    <w:p w:rsidR="00DA4E2D" w:rsidRPr="00DA4E2D" w:rsidRDefault="00DA4E2D">
      <w:pPr>
        <w:spacing w:after="0" w:line="240" w:lineRule="auto"/>
        <w:ind w:firstLine="567"/>
        <w:rPr>
          <w:rFonts w:ascii="Times New Roman" w:hAnsi="Times New Roman" w:cs="Times New Roman"/>
          <w:sz w:val="28"/>
          <w:szCs w:val="28"/>
        </w:rPr>
      </w:pPr>
    </w:p>
    <w:sectPr w:rsidR="00DA4E2D" w:rsidRPr="00DA4E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75CC"/>
    <w:rsid w:val="005F23FE"/>
    <w:rsid w:val="00647910"/>
    <w:rsid w:val="007A75CC"/>
    <w:rsid w:val="009243CE"/>
    <w:rsid w:val="0095644B"/>
    <w:rsid w:val="00962F35"/>
    <w:rsid w:val="00BC435A"/>
    <w:rsid w:val="00CD0EAF"/>
    <w:rsid w:val="00DA4E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A75C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A75CC"/>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7A75C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z-label">
    <w:name w:val="z-label"/>
    <w:basedOn w:val="a0"/>
    <w:rsid w:val="00DA4E2D"/>
  </w:style>
  <w:style w:type="character" w:styleId="a4">
    <w:name w:val="Hyperlink"/>
    <w:uiPriority w:val="99"/>
    <w:rsid w:val="00DA4E2D"/>
    <w:rPr>
      <w:color w:val="0000FF"/>
      <w:u w:val="single"/>
    </w:rPr>
  </w:style>
  <w:style w:type="paragraph" w:styleId="a5">
    <w:name w:val="Balloon Text"/>
    <w:basedOn w:val="a"/>
    <w:link w:val="a6"/>
    <w:uiPriority w:val="99"/>
    <w:semiHidden/>
    <w:unhideWhenUsed/>
    <w:rsid w:val="00DA4E2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A4E2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A75C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A75CC"/>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7A75C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z-label">
    <w:name w:val="z-label"/>
    <w:basedOn w:val="a0"/>
    <w:rsid w:val="00DA4E2D"/>
  </w:style>
  <w:style w:type="character" w:styleId="a4">
    <w:name w:val="Hyperlink"/>
    <w:uiPriority w:val="99"/>
    <w:rsid w:val="00DA4E2D"/>
    <w:rPr>
      <w:color w:val="0000FF"/>
      <w:u w:val="single"/>
    </w:rPr>
  </w:style>
  <w:style w:type="paragraph" w:styleId="a5">
    <w:name w:val="Balloon Text"/>
    <w:basedOn w:val="a"/>
    <w:link w:val="a6"/>
    <w:uiPriority w:val="99"/>
    <w:semiHidden/>
    <w:unhideWhenUsed/>
    <w:rsid w:val="00DA4E2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A4E2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273210">
      <w:bodyDiv w:val="1"/>
      <w:marLeft w:val="0"/>
      <w:marRight w:val="0"/>
      <w:marTop w:val="0"/>
      <w:marBottom w:val="0"/>
      <w:divBdr>
        <w:top w:val="none" w:sz="0" w:space="0" w:color="auto"/>
        <w:left w:val="none" w:sz="0" w:space="0" w:color="auto"/>
        <w:bottom w:val="none" w:sz="0" w:space="0" w:color="auto"/>
        <w:right w:val="none" w:sz="0" w:space="0" w:color="auto"/>
      </w:divBdr>
    </w:div>
    <w:div w:id="1800563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1133</Words>
  <Characters>646</Characters>
  <Application>Microsoft Office Word</Application>
  <DocSecurity>4</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Оніщенко Віталій Володимирович</cp:lastModifiedBy>
  <cp:revision>2</cp:revision>
  <cp:lastPrinted>2022-07-28T13:18:00Z</cp:lastPrinted>
  <dcterms:created xsi:type="dcterms:W3CDTF">2022-07-28T13:18:00Z</dcterms:created>
  <dcterms:modified xsi:type="dcterms:W3CDTF">2022-07-28T13:18:00Z</dcterms:modified>
</cp:coreProperties>
</file>